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Les moyens qui permettent d'éviter l'écueil de</w:t>
      </w:r>
      <w:r>
        <w:br/>
      </w:r>
      <w:r>
        <w:t xml:space="preserve">l'objectivation sont nombreux. Outre celui suggéré par Ricoeur,</w:t>
      </w:r>
      <w:r>
        <w:br/>
      </w:r>
      <w:r>
        <w:t xml:space="preserve">nous voulons en évoquer quelques-uns. Dans un contexte</w:t>
      </w:r>
      <w:r>
        <w:br/>
      </w:r>
      <w:r>
        <w:t xml:space="preserve">"existentialiste" nous avons appris à distinguer entre « parler de</w:t>
      </w:r>
      <w:r>
        <w:br/>
      </w:r>
      <w:r>
        <w:t xml:space="preserve">Dieu » et « parler à Dieu » sur le mode de l'invocation ou de la</w:t>
      </w:r>
      <w:r>
        <w:br/>
      </w:r>
      <w:r>
        <w:t xml:space="preserve">prière2. Le penseur juif, M. Buber, nous avait habitués à</w:t>
      </w:r>
      <w:r>
        <w:br/>
      </w:r>
      <w:r>
        <w:t xml:space="preserve">l'importance du dialogue et à la relation "Je" - "Tu"3 . Dans une</w:t>
      </w:r>
      <w:r>
        <w:br/>
      </w:r>
      <w:r>
        <w:t xml:space="preserve">autre perspective et dans la lignée augustinienne, les théologiens</w:t>
      </w:r>
      <w:r>
        <w:br/>
      </w:r>
      <w:r>
        <w:t xml:space="preserve">ont souvent insisté sur l'originalité du "croire en" (credere in) qui</w:t>
      </w:r>
      <w:r>
        <w:br/>
      </w:r>
      <w:r>
        <w:t xml:space="preserve">suggère le mouvement de l'acte de foi, bien distinct du simple</w:t>
      </w:r>
      <w:r>
        <w:br/>
      </w:r>
      <w:r>
        <w:br/>
      </w:r>
      <w:r>
        <w:t xml:space="preserve">2 Cf. ce texte de G. MARCEL, in Etre et Avoir, Paris, Aubier, 1935, p. 42 :</w:t>
      </w:r>
      <w:r>
        <w:br/>
      </w:r>
      <w:r>
        <w:t xml:space="preserve">« ... arriver à comprendre comment il se fait que prier Dieu soit, sans nul doute, la</w:t>
      </w:r>
      <w:r>
        <w:br/>
      </w:r>
      <w:r>
        <w:t xml:space="preserve">seule manière de penser à Dieu, ou plus exactement une sorte d'équivalent</w:t>
      </w:r>
      <w:r>
        <w:br/>
      </w:r>
      <w:r>
        <w:t xml:space="preserve">transposé à une plus haute puissance de ce qui à un plan inférieur serait penser à</w:t>
      </w:r>
      <w:r>
        <w:br/>
      </w:r>
      <w:r>
        <w:t xml:space="preserve">quelqu'un ».</w:t>
      </w:r>
      <w:r>
        <w:br/>
      </w:r>
      <w:r>
        <w:t xml:space="preserve">3 Cf. ce texte de M. BUBER, in "Je et Tu", reproduit dans La vie en dialogue, Paris,</w:t>
      </w:r>
      <w:r>
        <w:br/>
      </w:r>
      <w:r>
        <w:t xml:space="preserve">Aubier, 1959, p. 13 :</w:t>
      </w:r>
      <w:r>
        <w:br/>
      </w:r>
      <w:r>
        <w:t xml:space="preserve">« C'est par grâce que le Tu vient à moi ; ce n'est pas en le cherchant qu'on le</w:t>
      </w:r>
      <w:r>
        <w:br/>
      </w:r>
      <w:r>
        <w:t xml:space="preserve">trouve. Mais lui adresser le mot-principe, c'est l'acte de mon être, c'est mon acte</w:t>
      </w:r>
      <w:r>
        <w:br/>
      </w:r>
      <w:r>
        <w:t xml:space="preserve">essentiel. Le Tu vient à ma rencontre. Mais c'est moi qui entre en relation</w:t>
      </w:r>
      <w:r>
        <w:br/>
      </w:r>
      <w:r>
        <w:t xml:space="preserve">immédiate avec lui ».</w:t>
      </w:r>
      <w:r>
        <w:br/>
      </w:r>
      <w:r>
        <w:t xml:space="preserve">13</w:t>
      </w:r>
      <w:r>
        <w:br/>
      </w:r>
      <w:r>
        <w:t xml:space="preserve">jugement d'affirmation ou de constatation. Henri Bouillard a</w:t>
      </w:r>
      <w:r>
        <w:br/>
      </w:r>
      <w:r>
        <w:t xml:space="preserve">souligné l'importance de l'élan théologal propre au Credo : « Dire</w:t>
      </w:r>
      <w:r>
        <w:br/>
      </w:r>
      <w:r>
        <w:t xml:space="preserve">"Je crois en Dieu", c'est reconnaître dans un acte d'abandon</w:t>
      </w:r>
      <w:r>
        <w:br/>
      </w:r>
      <w:r>
        <w:t xml:space="preserve">inconditionnel, l'Autre absolu, infiniment distinct du monde et de</w:t>
      </w:r>
      <w:r>
        <w:br/>
      </w:r>
      <w:r>
        <w:t xml:space="preserve">nous-mêmes ». L'acte de foi est un mouvement, l'élan de la foi</w:t>
      </w:r>
      <w:r>
        <w:br/>
      </w:r>
      <w:r>
        <w:t xml:space="preserve">est une expression particulièrement adéquate pour suggérer que</w:t>
      </w:r>
      <w:r>
        <w:br/>
      </w:r>
      <w:r>
        <w:t xml:space="preserve">le croyant ne parle pas simplement de Dieu, mais qu'il parle à</w:t>
      </w:r>
      <w:r>
        <w:br/>
      </w:r>
      <w:r>
        <w:t xml:space="preserve">Dieu, qu'il s'adresse à lui avec foi, confiance, abandon. Du coup,</w:t>
      </w:r>
      <w:r>
        <w:br/>
      </w:r>
      <w:r>
        <w:t xml:space="preserve">on perçoit le rôle important du témoignage. C'est toujours grâce</w:t>
      </w:r>
      <w:r>
        <w:br/>
      </w:r>
      <w:r>
        <w:t xml:space="preserve">aux témoins de la foi que la question de Dieu est posée et qu'elle</w:t>
      </w:r>
      <w:r>
        <w:br/>
      </w:r>
      <w:r>
        <w:t xml:space="preserve">atteint les hommes. Le témoignage d'autrui est chemin vers Dieu</w:t>
      </w:r>
      <w:r>
        <w:br/>
      </w:r>
      <w:r>
        <w:t xml:space="preserve">et, néanmoins, il ne dispense pas de l'expérience personnelle qui</w:t>
      </w:r>
      <w:r>
        <w:br/>
      </w:r>
      <w:r>
        <w:t xml:space="preserve">est alors accueil de Dieu. On se souvient de la célèbre remarque</w:t>
      </w:r>
      <w:r>
        <w:br/>
      </w:r>
      <w:r>
        <w:t xml:space="preserve">de Pascal « Je ne crois que les histoires dont les témoins se</w:t>
      </w:r>
      <w:r>
        <w:br/>
      </w:r>
      <w:r>
        <w:t xml:space="preserve">feraient égorger », on connaît sa vérité et sa "réalisation" dans</w:t>
      </w:r>
      <w:r>
        <w:br/>
      </w:r>
      <w:r>
        <w:t xml:space="preserve">l'histoire et néanmoins le témoignage a besoin d'être reçu et</w:t>
      </w:r>
      <w:r>
        <w:br/>
      </w:r>
      <w:r>
        <w:t xml:space="preserve">approprié par le croyant qui, alors, fait sa propre expérience.</w:t>
      </w:r>
    </w:p>
    <w:p>
      <w:pPr>
        <w:pStyle w:val="Compact"/>
        <w:numPr>
          <w:ilvl w:val="0"/>
          <w:numId w:val="1001"/>
        </w:numPr>
      </w:pPr>
      <w:bookmarkStart w:id="9" w:name="ref1"/>
      <w:r>
        <w:t xml:space="preserve">P. RICOEUR, op. cit., p. 295.</w:t>
      </w:r>
      <w:bookmarkEnd w:id="9"/>
    </w:p>
    <w:p>
      <w:pPr>
        <w:pStyle w:val="Compact"/>
        <w:numPr>
          <w:ilvl w:val="0"/>
          <w:numId w:val="1001"/>
        </w:numPr>
      </w:pPr>
      <w:bookmarkStart w:id="10" w:name="ref2"/>
      <w:r>
        <w:t xml:space="preserve">Cf. ce texte de G. MARCEL, in Etre et Avoir, Paris, Aubier, 1935, p. 42 : « ... arriver à comprendre comment il se fait que prier Dieu soit, sans nul doute, la seule manière de penser à Dieu, ou plus exactement une sorte d'équivalent transposé à une plus haute puissance de ce qui à un plan inférieur serait penser à quelqu'un ».</w:t>
      </w:r>
      <w:bookmarkEnd w:id="10"/>
    </w:p>
    <w:p>
      <w:pPr>
        <w:pStyle w:val="Compact"/>
        <w:numPr>
          <w:ilvl w:val="0"/>
          <w:numId w:val="1001"/>
        </w:numPr>
      </w:pPr>
      <w:bookmarkStart w:id="11" w:name="ref3"/>
      <w:r>
        <w:t xml:space="preserve">Cf. ce texte de M. BUBER, in "Je et Tu", reproduit dans La vie en dialogue, Paris, Aubier, 1959, p. 13 : « C'est par grâce que le Tu vient à moi ; ce n'est pas en le cherchant qu'on le trouve. Mais lui adresser le mot-principe, c'est l'acte de mon être, c'est mon acte essentiel. Le Tu vient à ma rencontre. Mais c'est moi qui entre en relation immédiate avec lui ».</w:t>
      </w:r>
      <w:bookmarkEnd w:id="11"/>
    </w:p>
    <w:p>
      <w:pPr>
        <w:pStyle w:val="Compact"/>
        <w:numPr>
          <w:ilvl w:val="0"/>
          <w:numId w:val="1001"/>
        </w:numPr>
      </w:pPr>
      <w:bookmarkStart w:id="12" w:name="ref4"/>
      <w:r>
        <w:t xml:space="preserve">Henri Bouillard, sur l'élan théologal dans le Credo.</w:t>
      </w:r>
      <w:bookmarkEnd w:id="12"/>
    </w:p>
    <w:p>
      <w:pPr>
        <w:pStyle w:val="Compact"/>
        <w:numPr>
          <w:ilvl w:val="0"/>
          <w:numId w:val="1001"/>
        </w:numPr>
      </w:pPr>
      <w:bookmarkStart w:id="13" w:name="ref5"/>
      <w:r>
        <w:t xml:space="preserve">Pascal, citation de la remarque célèbre : « Je ne crois que les histoires dont les témoins se feraient égorger ».</w:t>
      </w:r>
      <w:bookmarkEnd w:id="13"/>
    </w:p>
    <w:p>
      <w:pPr>
        <w:pStyle w:val="FirstParagraph"/>
      </w:pPr>
      <w:r>
        <w:t xml:space="preserve">Les moyens qui permettent d'éviter l'écueil de l'objectivation sont nombreux. Outre celui suggéré par Ricoeur, nous voulons en évoquer quelques-uns. Dans un contexte "existentialiste" nous avons appris à distinguer entre « parler de Dieu » et « parler à Dieu » sur le mode de l'invocation ou de la prière</w:t>
      </w:r>
      <w:hyperlink w:anchor="ref1">
        <w:r>
          <w:rPr>
            <w:rStyle w:val="Hyperlink"/>
            <w:vertAlign w:val="superscript"/>
          </w:rPr>
          <w:t xml:space="preserve">1</w:t>
        </w:r>
      </w:hyperlink>
      <w:r>
        <w:t xml:space="preserve">. Le penseur juif, M. Buber, nous avait habitués à l'importance du dialogue et à la relation "Je" - "Tu"</w:t>
      </w:r>
      <w:hyperlink w:anchor="ref2">
        <w:r>
          <w:rPr>
            <w:rStyle w:val="Hyperlink"/>
            <w:vertAlign w:val="superscript"/>
          </w:rPr>
          <w:t xml:space="preserve">2</w:t>
        </w:r>
      </w:hyperlink>
      <w:r>
        <w:t xml:space="preserve">. Dans une autre perspective et dans la lignée augustinienne, les théologiens ont souvent insisté sur l'originalité du "croire en" (credere in) qui suggère le mouvement de l'acte de foi, bien distinct du simple jugement d'affirmation ou de constatation. Henri Bouillard a souligné l'importance de l'élan théologal propre au Credo : « Dire "Je crois en Dieu", c'est reconnaître dans un acte d'abandon inconditionnel, l'Autre absolu, infiniment distinct du monde et de nous-mêmes »</w:t>
      </w:r>
      <w:hyperlink w:anchor="ref4">
        <w:r>
          <w:rPr>
            <w:rStyle w:val="Hyperlink"/>
            <w:vertAlign w:val="superscript"/>
          </w:rPr>
          <w:t xml:space="preserve">4</w:t>
        </w:r>
      </w:hyperlink>
      <w:r>
        <w:t xml:space="preserve">. L'acte de foi est un mouvement, l'élan de la foi est une expression particulièrement adéquate pour suggérer que le croyant ne parle pas simplement de Dieu, mais qu'il parle à Dieu, qu'il s'adresse à lui avec foi, confiance, abandon. Du coup, on perçoit le rôle important du témoignage. C'est toujours grâce aux témoins de la foi que la question de Dieu est posée et qu'elle atteint les hommes. Le témoignage d'autrui est chemin vers Dieu et, néanmoins, il ne dispense pas de l'expérience personnelle qui est alors accueil de Dieu. On se souvient de la célèbre remarque de Pascal</w:t>
      </w:r>
      <w:hyperlink w:anchor="ref5">
        <w:r>
          <w:rPr>
            <w:rStyle w:val="Hyperlink"/>
            <w:vertAlign w:val="superscript"/>
          </w:rPr>
          <w:t xml:space="preserve">5</w:t>
        </w:r>
      </w:hyperlink>
      <w:r>
        <w:t xml:space="preserve"> </w:t>
      </w:r>
      <w:r>
        <w:t xml:space="preserve">: « Je ne crois que les histoires dont les témoins se feraient égorger », on connaît sa vérité et sa "réalisation" dans l'histoire et néanmoins le témoignage a besoin d'être reçu et approprié par le croyant qui, alors, fait sa propre expérience.</w:t>
      </w:r>
    </w:p>
    <w:p>
      <w:pPr>
        <w:pStyle w:val="Compact"/>
        <w:numPr>
          <w:ilvl w:val="0"/>
          <w:numId w:val="1002"/>
        </w:numPr>
      </w:pPr>
      <w:bookmarkStart w:id="14" w:name="ref1"/>
      <w:r>
        <w:t xml:space="preserve">P. RICOEUR, op. cit., p. 295.</w:t>
      </w:r>
      <w:bookmarkEnd w:id="14"/>
    </w:p>
    <w:p>
      <w:pPr>
        <w:pStyle w:val="Compact"/>
        <w:numPr>
          <w:ilvl w:val="0"/>
          <w:numId w:val="1002"/>
        </w:numPr>
      </w:pPr>
      <w:bookmarkStart w:id="15" w:name="ref2"/>
      <w:r>
        <w:t xml:space="preserve">Cf. ce texte de G. MARCEL, in Etre et Avoir, Paris, Aubier, 1935, p. 42 : « ... arriver à comprendre comment il se fait que prier Dieu soit, sans nul doute, la seule manière de penser à Dieu, ou plus exactement une sorte d'équivalent transposé à une plus haute puissance de ce qui à un plan inférieur serait penser à quelqu'un ».</w:t>
      </w:r>
      <w:bookmarkEnd w:id="15"/>
    </w:p>
    <w:p>
      <w:pPr>
        <w:pStyle w:val="Compact"/>
        <w:numPr>
          <w:ilvl w:val="0"/>
          <w:numId w:val="1002"/>
        </w:numPr>
      </w:pPr>
      <w:bookmarkStart w:id="16" w:name="ref3"/>
      <w:r>
        <w:t xml:space="preserve">Cf. ce texte de M. BUBER, in "Je et Tu", reproduit dans La vie en dialogue, Paris, Aubier, 1959, p. 13 : « C'est par grâce que le Tu vient à moi ; ce n'est pas en le cherchant qu'on le trouve. Mais lui adresser le mot-principe, c'est l'acte de mon être, c'est mon acte essentiel. Le Tu vient à ma rencontre. Mais c'est moi qui entre en relation immédiate avec lui ».</w:t>
      </w:r>
      <w:bookmarkEnd w:id="16"/>
    </w:p>
    <w:p>
      <w:pPr>
        <w:pStyle w:val="Compact"/>
        <w:numPr>
          <w:ilvl w:val="0"/>
          <w:numId w:val="1002"/>
        </w:numPr>
      </w:pPr>
      <w:bookmarkStart w:id="17" w:name="ref4"/>
      <w:r>
        <w:t xml:space="preserve">Henri Bouillard, sur l'élan théologal dans le Credo.</w:t>
      </w:r>
      <w:bookmarkEnd w:id="17"/>
    </w:p>
    <w:p>
      <w:pPr>
        <w:pStyle w:val="Compact"/>
        <w:numPr>
          <w:ilvl w:val="0"/>
          <w:numId w:val="1002"/>
        </w:numPr>
      </w:pPr>
      <w:bookmarkStart w:id="18" w:name="ref5"/>
      <w:r>
        <w:t xml:space="preserve">Pascal, citation de la remarque célèbre : « Je ne crois que les histoires dont les témoins se feraient égorger ».</w:t>
      </w:r>
      <w:bookmarkEnd w:id="18"/>
    </w:p>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fr"/>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language>fr</dc:language>
  <cp:keywords/>
  <dcterms:created xsi:type="dcterms:W3CDTF">2025-10-09T17:08:24Z</dcterms:created>
  <dcterms:modified xsi:type="dcterms:W3CDTF">2025-10-09T17:08:24Z</dcterms:modified>
</cp:coreProperties>
</file>

<file path=docProps/custom.xml><?xml version="1.0" encoding="utf-8"?>
<Properties xmlns="http://schemas.openxmlformats.org/officeDocument/2006/custom-properties" xmlns:vt="http://schemas.openxmlformats.org/officeDocument/2006/docPropsVTypes"/>
</file>