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Heading1"/>
      </w:pPr>
      <w:r>
        <w:rPr/>
        <w:t>I.</w:t>
      </w:r>
      <w:r>
        <w:rPr>
          <w:spacing w:val="-5"/>
        </w:rPr>
        <w:t> </w:t>
      </w:r>
      <w:r>
        <w:rPr/>
        <w:t>Enracinement</w:t>
      </w:r>
      <w:r>
        <w:rPr>
          <w:spacing w:val="-3"/>
        </w:rPr>
        <w:t> </w:t>
      </w:r>
      <w:r>
        <w:rPr/>
        <w:t>des</w:t>
      </w:r>
      <w:r>
        <w:rPr>
          <w:spacing w:val="-4"/>
        </w:rPr>
        <w:t> </w:t>
      </w:r>
      <w:r>
        <w:rPr/>
        <w:t>confessions</w:t>
      </w:r>
      <w:r>
        <w:rPr>
          <w:spacing w:val="-4"/>
        </w:rPr>
        <w:t> </w:t>
      </w:r>
      <w:r>
        <w:rPr/>
        <w:t>de</w:t>
      </w:r>
      <w:r>
        <w:rPr>
          <w:spacing w:val="-6"/>
        </w:rPr>
        <w:t> </w:t>
      </w:r>
      <w:r>
        <w:rPr/>
        <w:t>foi</w:t>
      </w:r>
      <w:r>
        <w:rPr>
          <w:spacing w:val="-5"/>
        </w:rPr>
        <w:t> </w:t>
      </w:r>
      <w:r>
        <w:rPr/>
        <w:t>et</w:t>
      </w:r>
      <w:r>
        <w:rPr>
          <w:spacing w:val="-3"/>
        </w:rPr>
        <w:t> </w:t>
      </w:r>
      <w:r>
        <w:rPr/>
        <w:t>de</w:t>
      </w:r>
      <w:r>
        <w:rPr>
          <w:spacing w:val="-4"/>
        </w:rPr>
        <w:t> </w:t>
      </w:r>
      <w:r>
        <w:rPr/>
        <w:t>la théologie de l’Esprit dans le N.T.</w:t>
      </w:r>
    </w:p>
    <w:p>
      <w:pPr>
        <w:pStyle w:val="BodyText"/>
        <w:spacing w:before="80"/>
        <w:ind w:right="158"/>
      </w:pPr>
      <w:r>
        <w:rPr/>
        <w:t>S'il est vrai que la christologie n'est rien d'autre que l'interprétation de la confession de foi christologique, on pourra aussi dire que la théologie trinitaire n'est rien d'autre que l'interprétation de la confession de foi trinitaire. Des théologiens et des exégètes accordent une attention croissante aux confessions de foi, à commencer par celles qui</w:t>
      </w:r>
      <w:r>
        <w:rPr>
          <w:spacing w:val="-2"/>
        </w:rPr>
        <w:t> </w:t>
      </w:r>
      <w:r>
        <w:rPr/>
        <w:t>sont</w:t>
      </w:r>
      <w:r>
        <w:rPr>
          <w:spacing w:val="-1"/>
        </w:rPr>
        <w:t> </w:t>
      </w:r>
      <w:r>
        <w:rPr/>
        <w:t>repérables</w:t>
      </w:r>
      <w:r>
        <w:rPr>
          <w:spacing w:val="-4"/>
        </w:rPr>
        <w:t> </w:t>
      </w:r>
      <w:r>
        <w:rPr/>
        <w:t>dans</w:t>
      </w:r>
      <w:r>
        <w:rPr>
          <w:spacing w:val="-2"/>
        </w:rPr>
        <w:t> </w:t>
      </w:r>
      <w:r>
        <w:rPr/>
        <w:t>le</w:t>
      </w:r>
      <w:r>
        <w:rPr>
          <w:spacing w:val="-1"/>
        </w:rPr>
        <w:t> </w:t>
      </w:r>
      <w:r>
        <w:rPr/>
        <w:t>N.T.</w:t>
      </w:r>
      <w:r>
        <w:rPr>
          <w:spacing w:val="-4"/>
        </w:rPr>
        <w:t> </w:t>
      </w:r>
      <w:r>
        <w:rPr/>
        <w:t>La</w:t>
      </w:r>
      <w:r>
        <w:rPr>
          <w:spacing w:val="-3"/>
        </w:rPr>
        <w:t> </w:t>
      </w:r>
      <w:r>
        <w:rPr/>
        <w:t>première</w:t>
      </w:r>
      <w:r>
        <w:rPr>
          <w:spacing w:val="-3"/>
        </w:rPr>
        <w:t> </w:t>
      </w:r>
      <w:r>
        <w:rPr/>
        <w:t>section</w:t>
      </w:r>
      <w:r>
        <w:rPr>
          <w:spacing w:val="-3"/>
        </w:rPr>
        <w:t> </w:t>
      </w:r>
      <w:r>
        <w:rPr/>
        <w:t>de</w:t>
      </w:r>
      <w:r>
        <w:rPr>
          <w:spacing w:val="-1"/>
        </w:rPr>
        <w:t> </w:t>
      </w:r>
      <w:r>
        <w:rPr/>
        <w:t>ce</w:t>
      </w:r>
      <w:r>
        <w:rPr>
          <w:spacing w:val="-1"/>
        </w:rPr>
        <w:t> </w:t>
      </w:r>
      <w:r>
        <w:rPr/>
        <w:t>chapitre</w:t>
      </w:r>
      <w:r>
        <w:rPr>
          <w:spacing w:val="-3"/>
        </w:rPr>
        <w:t> </w:t>
      </w:r>
      <w:r>
        <w:rPr/>
        <w:t>est</w:t>
      </w:r>
      <w:r>
        <w:rPr>
          <w:spacing w:val="-1"/>
        </w:rPr>
        <w:t> </w:t>
      </w:r>
      <w:r>
        <w:rPr/>
        <w:t>consacrée</w:t>
      </w:r>
      <w:r>
        <w:rPr>
          <w:spacing w:val="-3"/>
        </w:rPr>
        <w:t> </w:t>
      </w:r>
      <w:r>
        <w:rPr/>
        <w:t>au rôle normatif qu'ont pu jouer les confessions de foi dans la communauté primitive et aux différentes formes qu'elles ont pu prendre. Dans une deuxième section seront fournis des indications bibliographiques et des jalons de réflexion à propos des titres christologiques dont certains représentent des éléments constitutifs de toutes les confessions de foi. Dans une troisième section, se trouvent réunis des éléments de réflexion concernant les premiers linéaments de la doctrine de l'Esprit.</w:t>
      </w:r>
    </w:p>
    <w:p>
      <w:pPr>
        <w:pStyle w:val="BodyText"/>
        <w:spacing w:before="160"/>
        <w:ind w:left="0"/>
      </w:pPr>
    </w:p>
    <w:p>
      <w:pPr>
        <w:pStyle w:val="Heading2"/>
        <w:numPr>
          <w:ilvl w:val="0"/>
          <w:numId w:val="1"/>
        </w:numPr>
        <w:tabs>
          <w:tab w:pos="494" w:val="left" w:leader="none"/>
        </w:tabs>
        <w:spacing w:line="240" w:lineRule="auto" w:before="0" w:after="0"/>
        <w:ind w:left="140" w:right="326" w:firstLine="0"/>
        <w:jc w:val="left"/>
      </w:pPr>
      <w:r>
        <w:rPr/>
        <w:t>Les</w:t>
      </w:r>
      <w:r>
        <w:rPr>
          <w:spacing w:val="-6"/>
        </w:rPr>
        <w:t> </w:t>
      </w:r>
      <w:r>
        <w:rPr/>
        <w:t>confessions</w:t>
      </w:r>
      <w:r>
        <w:rPr>
          <w:spacing w:val="-3"/>
        </w:rPr>
        <w:t> </w:t>
      </w:r>
      <w:r>
        <w:rPr/>
        <w:t>de</w:t>
      </w:r>
      <w:r>
        <w:rPr>
          <w:spacing w:val="-6"/>
        </w:rPr>
        <w:t> </w:t>
      </w:r>
      <w:r>
        <w:rPr/>
        <w:t>foi</w:t>
      </w:r>
      <w:r>
        <w:rPr>
          <w:spacing w:val="-6"/>
        </w:rPr>
        <w:t> </w:t>
      </w:r>
      <w:r>
        <w:rPr/>
        <w:t>dans</w:t>
      </w:r>
      <w:r>
        <w:rPr>
          <w:spacing w:val="-3"/>
        </w:rPr>
        <w:t> </w:t>
      </w:r>
      <w:r>
        <w:rPr/>
        <w:t>leur</w:t>
      </w:r>
      <w:r>
        <w:rPr>
          <w:spacing w:val="-5"/>
        </w:rPr>
        <w:t> </w:t>
      </w:r>
      <w:r>
        <w:rPr/>
        <w:t>rapport</w:t>
      </w:r>
      <w:r>
        <w:rPr>
          <w:spacing w:val="-4"/>
        </w:rPr>
        <w:t> </w:t>
      </w:r>
      <w:r>
        <w:rPr/>
        <w:t>avec</w:t>
      </w:r>
      <w:r>
        <w:rPr>
          <w:spacing w:val="-6"/>
        </w:rPr>
        <w:t> </w:t>
      </w:r>
      <w:r>
        <w:rPr/>
        <w:t>l’Écriture. L’enracinement néo-testamentaire des confessions de foi</w:t>
      </w:r>
    </w:p>
    <w:p>
      <w:pPr>
        <w:pStyle w:val="ListParagraph"/>
        <w:numPr>
          <w:ilvl w:val="1"/>
          <w:numId w:val="1"/>
        </w:numPr>
        <w:tabs>
          <w:tab w:pos="424" w:val="left" w:leader="none"/>
        </w:tabs>
        <w:spacing w:line="240" w:lineRule="auto" w:before="157" w:after="0"/>
        <w:ind w:left="424" w:right="0" w:hanging="284"/>
        <w:jc w:val="left"/>
        <w:rPr>
          <w:rFonts w:ascii="Calibri" w:hAnsi="Calibri"/>
          <w:sz w:val="28"/>
        </w:rPr>
      </w:pPr>
      <w:r>
        <w:rPr>
          <w:rFonts w:ascii="Calibri" w:hAnsi="Calibri"/>
          <w:color w:val="0F4660"/>
          <w:sz w:val="28"/>
        </w:rPr>
        <w:t>Le</w:t>
      </w:r>
      <w:r>
        <w:rPr>
          <w:rFonts w:ascii="Calibri" w:hAnsi="Calibri"/>
          <w:color w:val="0F4660"/>
          <w:spacing w:val="35"/>
          <w:sz w:val="28"/>
        </w:rPr>
        <w:t> </w:t>
      </w:r>
      <w:r>
        <w:rPr>
          <w:rFonts w:ascii="Calibri" w:hAnsi="Calibri"/>
          <w:color w:val="0F4660"/>
          <w:sz w:val="28"/>
        </w:rPr>
        <w:t>problème</w:t>
      </w:r>
      <w:r>
        <w:rPr>
          <w:rFonts w:ascii="Calibri" w:hAnsi="Calibri"/>
          <w:color w:val="0F4660"/>
          <w:spacing w:val="30"/>
          <w:sz w:val="28"/>
        </w:rPr>
        <w:t> </w:t>
      </w:r>
      <w:r>
        <w:rPr>
          <w:rFonts w:ascii="Calibri" w:hAnsi="Calibri"/>
          <w:color w:val="0F4660"/>
          <w:sz w:val="28"/>
        </w:rPr>
        <w:t>du</w:t>
      </w:r>
      <w:r>
        <w:rPr>
          <w:rFonts w:ascii="Calibri" w:hAnsi="Calibri"/>
          <w:color w:val="0F4660"/>
          <w:spacing w:val="32"/>
          <w:sz w:val="28"/>
        </w:rPr>
        <w:t> </w:t>
      </w:r>
      <w:r>
        <w:rPr>
          <w:rFonts w:ascii="Calibri" w:hAnsi="Calibri"/>
          <w:color w:val="0F4660"/>
          <w:sz w:val="28"/>
        </w:rPr>
        <w:t>canon</w:t>
      </w:r>
      <w:r>
        <w:rPr>
          <w:rFonts w:ascii="Calibri" w:hAnsi="Calibri"/>
          <w:color w:val="0F4660"/>
          <w:spacing w:val="32"/>
          <w:sz w:val="28"/>
        </w:rPr>
        <w:t> </w:t>
      </w:r>
      <w:r>
        <w:rPr>
          <w:rFonts w:ascii="Calibri" w:hAnsi="Calibri"/>
          <w:color w:val="0F4660"/>
          <w:sz w:val="28"/>
        </w:rPr>
        <w:t>dans</w:t>
      </w:r>
      <w:r>
        <w:rPr>
          <w:rFonts w:ascii="Calibri" w:hAnsi="Calibri"/>
          <w:color w:val="0F4660"/>
          <w:spacing w:val="34"/>
          <w:sz w:val="28"/>
        </w:rPr>
        <w:t> </w:t>
      </w:r>
      <w:r>
        <w:rPr>
          <w:rFonts w:ascii="Calibri" w:hAnsi="Calibri"/>
          <w:color w:val="0F4660"/>
          <w:sz w:val="28"/>
        </w:rPr>
        <w:t>le</w:t>
      </w:r>
      <w:r>
        <w:rPr>
          <w:rFonts w:ascii="Calibri" w:hAnsi="Calibri"/>
          <w:color w:val="0F4660"/>
          <w:spacing w:val="30"/>
          <w:sz w:val="28"/>
        </w:rPr>
        <w:t> </w:t>
      </w:r>
      <w:r>
        <w:rPr>
          <w:rFonts w:ascii="Calibri" w:hAnsi="Calibri"/>
          <w:color w:val="0F4660"/>
          <w:spacing w:val="-4"/>
          <w:sz w:val="28"/>
        </w:rPr>
        <w:t>canon</w:t>
      </w:r>
    </w:p>
    <w:p>
      <w:pPr>
        <w:pStyle w:val="BodyText"/>
        <w:spacing w:before="254"/>
      </w:pPr>
      <w:r>
        <w:rPr/>
        <w:t>L'exégèse</w:t>
      </w:r>
      <w:r>
        <w:rPr>
          <w:spacing w:val="-4"/>
        </w:rPr>
        <w:t> </w:t>
      </w:r>
      <w:r>
        <w:rPr/>
        <w:t>contemporaine</w:t>
      </w:r>
      <w:r>
        <w:rPr>
          <w:spacing w:val="-2"/>
        </w:rPr>
        <w:t> </w:t>
      </w:r>
      <w:r>
        <w:rPr/>
        <w:t>a</w:t>
      </w:r>
      <w:r>
        <w:rPr>
          <w:spacing w:val="-4"/>
        </w:rPr>
        <w:t> </w:t>
      </w:r>
      <w:r>
        <w:rPr/>
        <w:t>mis</w:t>
      </w:r>
      <w:r>
        <w:rPr>
          <w:spacing w:val="-3"/>
        </w:rPr>
        <w:t> </w:t>
      </w:r>
      <w:r>
        <w:rPr/>
        <w:t>en</w:t>
      </w:r>
      <w:r>
        <w:rPr>
          <w:spacing w:val="-2"/>
        </w:rPr>
        <w:t> </w:t>
      </w:r>
      <w:r>
        <w:rPr/>
        <w:t>lumière</w:t>
      </w:r>
      <w:r>
        <w:rPr>
          <w:spacing w:val="-2"/>
        </w:rPr>
        <w:t> </w:t>
      </w:r>
      <w:r>
        <w:rPr/>
        <w:t>la</w:t>
      </w:r>
      <w:r>
        <w:rPr>
          <w:spacing w:val="-4"/>
        </w:rPr>
        <w:t> </w:t>
      </w:r>
      <w:r>
        <w:rPr/>
        <w:t>diversité</w:t>
      </w:r>
      <w:r>
        <w:rPr>
          <w:spacing w:val="-2"/>
        </w:rPr>
        <w:t> </w:t>
      </w:r>
      <w:r>
        <w:rPr/>
        <w:t>des</w:t>
      </w:r>
      <w:r>
        <w:rPr>
          <w:spacing w:val="-3"/>
        </w:rPr>
        <w:t> </w:t>
      </w:r>
      <w:r>
        <w:rPr/>
        <w:t>théologies</w:t>
      </w:r>
      <w:r>
        <w:rPr>
          <w:spacing w:val="-3"/>
        </w:rPr>
        <w:t> </w:t>
      </w:r>
      <w:r>
        <w:rPr/>
        <w:t>à</w:t>
      </w:r>
      <w:r>
        <w:rPr>
          <w:spacing w:val="-2"/>
        </w:rPr>
        <w:t> </w:t>
      </w:r>
      <w:r>
        <w:rPr/>
        <w:t>l'intérieur</w:t>
      </w:r>
      <w:r>
        <w:rPr>
          <w:spacing w:val="-5"/>
        </w:rPr>
        <w:t> du</w:t>
      </w:r>
    </w:p>
    <w:p>
      <w:pPr>
        <w:pStyle w:val="BodyText"/>
        <w:ind w:right="138"/>
      </w:pPr>
      <w:r>
        <w:rPr/>
        <w:t>N.T.</w:t>
      </w:r>
      <w:r>
        <w:rPr>
          <w:spacing w:val="-1"/>
        </w:rPr>
        <w:t> </w:t>
      </w:r>
      <w:r>
        <w:rPr/>
        <w:t>et</w:t>
      </w:r>
      <w:r>
        <w:rPr>
          <w:spacing w:val="-1"/>
        </w:rPr>
        <w:t> </w:t>
      </w:r>
      <w:r>
        <w:rPr/>
        <w:t>s'interroge</w:t>
      </w:r>
      <w:r>
        <w:rPr>
          <w:spacing w:val="-3"/>
        </w:rPr>
        <w:t> </w:t>
      </w:r>
      <w:r>
        <w:rPr/>
        <w:t>sur</w:t>
      </w:r>
      <w:r>
        <w:rPr>
          <w:spacing w:val="-5"/>
        </w:rPr>
        <w:t> </w:t>
      </w:r>
      <w:r>
        <w:rPr/>
        <w:t>ce</w:t>
      </w:r>
      <w:r>
        <w:rPr>
          <w:spacing w:val="-1"/>
        </w:rPr>
        <w:t> </w:t>
      </w:r>
      <w:r>
        <w:rPr/>
        <w:t>qui</w:t>
      </w:r>
      <w:r>
        <w:rPr>
          <w:spacing w:val="-5"/>
        </w:rPr>
        <w:t> </w:t>
      </w:r>
      <w:r>
        <w:rPr/>
        <w:t>fait</w:t>
      </w:r>
      <w:r>
        <w:rPr>
          <w:spacing w:val="-1"/>
        </w:rPr>
        <w:t> </w:t>
      </w:r>
      <w:r>
        <w:rPr/>
        <w:t>l'unité</w:t>
      </w:r>
      <w:r>
        <w:rPr>
          <w:spacing w:val="-3"/>
        </w:rPr>
        <w:t> </w:t>
      </w:r>
      <w:r>
        <w:rPr/>
        <w:t>dans</w:t>
      </w:r>
      <w:r>
        <w:rPr>
          <w:spacing w:val="-4"/>
        </w:rPr>
        <w:t> </w:t>
      </w:r>
      <w:r>
        <w:rPr/>
        <w:t>la</w:t>
      </w:r>
      <w:r>
        <w:rPr>
          <w:spacing w:val="-1"/>
        </w:rPr>
        <w:t> </w:t>
      </w:r>
      <w:r>
        <w:rPr/>
        <w:t>pluralité.</w:t>
      </w:r>
      <w:r>
        <w:rPr>
          <w:spacing w:val="-1"/>
        </w:rPr>
        <w:t> </w:t>
      </w:r>
      <w:r>
        <w:rPr/>
        <w:t>E.</w:t>
      </w:r>
      <w:r>
        <w:rPr>
          <w:spacing w:val="-4"/>
        </w:rPr>
        <w:t> </w:t>
      </w:r>
      <w:r>
        <w:rPr/>
        <w:t>KÄSEMANN</w:t>
      </w:r>
      <w:r>
        <w:rPr>
          <w:spacing w:val="-3"/>
        </w:rPr>
        <w:t> </w:t>
      </w:r>
      <w:r>
        <w:rPr/>
        <w:t>a</w:t>
      </w:r>
      <w:r>
        <w:rPr>
          <w:spacing w:val="-1"/>
        </w:rPr>
        <w:t> </w:t>
      </w:r>
      <w:r>
        <w:rPr/>
        <w:t>pu</w:t>
      </w:r>
      <w:r>
        <w:rPr>
          <w:spacing w:val="-3"/>
        </w:rPr>
        <w:t> </w:t>
      </w:r>
      <w:r>
        <w:rPr/>
        <w:t>dire</w:t>
      </w:r>
      <w:r>
        <w:rPr>
          <w:spacing w:val="-1"/>
        </w:rPr>
        <w:t> </w:t>
      </w:r>
      <w:r>
        <w:rPr/>
        <w:t>que le N.T. ne fonde pas l'unité de l'Église, mais la diversité des confessions</w:t>
      </w:r>
      <w:r>
        <w:rPr>
          <w:spacing w:val="40"/>
        </w:rPr>
        <w:t> </w:t>
      </w:r>
      <w:r>
        <w:rPr/>
        <w:t>(Orthodoxes, Protestants...) : G. EBELING rejette cette assertion sous prétexte que</w:t>
      </w:r>
      <w:r>
        <w:rPr>
          <w:spacing w:val="40"/>
        </w:rPr>
        <w:t> </w:t>
      </w:r>
      <w:r>
        <w:rPr/>
        <w:t>le problème des confessions chrétiennes n'est pas posé par le N.T. Malgré cette divergence, les deux auteurs sont d'accord pour dire que la vraie question est de savoir si le N.T. renvoie à un noyau fondamental, à un centre de perspective à partir duquel</w:t>
      </w:r>
      <w:r>
        <w:rPr>
          <w:spacing w:val="-1"/>
        </w:rPr>
        <w:t> </w:t>
      </w:r>
      <w:r>
        <w:rPr/>
        <w:t>s'expliquent les</w:t>
      </w:r>
      <w:r>
        <w:rPr>
          <w:spacing w:val="-3"/>
        </w:rPr>
        <w:t> </w:t>
      </w:r>
      <w:r>
        <w:rPr/>
        <w:t>différentes</w:t>
      </w:r>
      <w:r>
        <w:rPr>
          <w:spacing w:val="-3"/>
        </w:rPr>
        <w:t> </w:t>
      </w:r>
      <w:r>
        <w:rPr/>
        <w:t>présentations</w:t>
      </w:r>
      <w:r>
        <w:rPr>
          <w:spacing w:val="-1"/>
        </w:rPr>
        <w:t> </w:t>
      </w:r>
      <w:r>
        <w:rPr/>
        <w:t>qui</w:t>
      </w:r>
      <w:r>
        <w:rPr>
          <w:spacing w:val="-1"/>
        </w:rPr>
        <w:t> </w:t>
      </w:r>
      <w:r>
        <w:rPr/>
        <w:t>sont</w:t>
      </w:r>
      <w:r>
        <w:rPr>
          <w:spacing w:val="-3"/>
        </w:rPr>
        <w:t> </w:t>
      </w:r>
      <w:r>
        <w:rPr/>
        <w:t>faites</w:t>
      </w:r>
      <w:r>
        <w:rPr>
          <w:spacing w:val="-1"/>
        </w:rPr>
        <w:t> </w:t>
      </w:r>
      <w:r>
        <w:rPr/>
        <w:t>dans</w:t>
      </w:r>
      <w:r>
        <w:rPr>
          <w:spacing w:val="-3"/>
        </w:rPr>
        <w:t> </w:t>
      </w:r>
      <w:r>
        <w:rPr/>
        <w:t>le N.T. du</w:t>
      </w:r>
      <w:r>
        <w:rPr>
          <w:spacing w:val="-2"/>
        </w:rPr>
        <w:t> </w:t>
      </w:r>
      <w:r>
        <w:rPr/>
        <w:t>Christ et du mystère du salut.</w:t>
      </w:r>
    </w:p>
    <w:p>
      <w:pPr>
        <w:pStyle w:val="BodyText"/>
        <w:ind w:left="141" w:right="142"/>
      </w:pPr>
      <w:r>
        <w:rPr/>
        <w:t>Cette problématique du canon dans le canon a suscité des réactions de la part des catholiques et des protestants. Certains signalent le danger de privilégier tel corpus du</w:t>
      </w:r>
      <w:r>
        <w:rPr>
          <w:spacing w:val="-1"/>
        </w:rPr>
        <w:t> </w:t>
      </w:r>
      <w:r>
        <w:rPr/>
        <w:t>N.T.</w:t>
      </w:r>
      <w:r>
        <w:rPr>
          <w:spacing w:val="-4"/>
        </w:rPr>
        <w:t> </w:t>
      </w:r>
      <w:r>
        <w:rPr/>
        <w:t>et</w:t>
      </w:r>
      <w:r>
        <w:rPr>
          <w:spacing w:val="-1"/>
        </w:rPr>
        <w:t> </w:t>
      </w:r>
      <w:r>
        <w:rPr/>
        <w:t>d'oublier</w:t>
      </w:r>
      <w:r>
        <w:rPr>
          <w:spacing w:val="-3"/>
        </w:rPr>
        <w:t> </w:t>
      </w:r>
      <w:r>
        <w:rPr/>
        <w:t>que</w:t>
      </w:r>
      <w:r>
        <w:rPr>
          <w:spacing w:val="-1"/>
        </w:rPr>
        <w:t> </w:t>
      </w:r>
      <w:r>
        <w:rPr/>
        <w:t>tout</w:t>
      </w:r>
      <w:r>
        <w:rPr>
          <w:spacing w:val="-1"/>
        </w:rPr>
        <w:t> </w:t>
      </w:r>
      <w:r>
        <w:rPr/>
        <w:t>le</w:t>
      </w:r>
      <w:r>
        <w:rPr>
          <w:spacing w:val="-1"/>
        </w:rPr>
        <w:t> </w:t>
      </w:r>
      <w:r>
        <w:rPr/>
        <w:t>N.T.</w:t>
      </w:r>
      <w:r>
        <w:rPr>
          <w:spacing w:val="-4"/>
        </w:rPr>
        <w:t> </w:t>
      </w:r>
      <w:r>
        <w:rPr/>
        <w:t>est</w:t>
      </w:r>
      <w:r>
        <w:rPr>
          <w:spacing w:val="-4"/>
        </w:rPr>
        <w:t> </w:t>
      </w:r>
      <w:r>
        <w:rPr/>
        <w:t>canonique.</w:t>
      </w:r>
      <w:r>
        <w:rPr>
          <w:spacing w:val="-1"/>
        </w:rPr>
        <w:t> </w:t>
      </w:r>
      <w:r>
        <w:rPr/>
        <w:t>D'autres</w:t>
      </w:r>
      <w:r>
        <w:rPr>
          <w:spacing w:val="-4"/>
        </w:rPr>
        <w:t> </w:t>
      </w:r>
      <w:r>
        <w:rPr/>
        <w:t>reprennent</w:t>
      </w:r>
      <w:r>
        <w:rPr>
          <w:spacing w:val="-4"/>
        </w:rPr>
        <w:t> </w:t>
      </w:r>
      <w:r>
        <w:rPr/>
        <w:t>la</w:t>
      </w:r>
      <w:r>
        <w:rPr>
          <w:spacing w:val="-1"/>
        </w:rPr>
        <w:t> </w:t>
      </w:r>
      <w:r>
        <w:rPr/>
        <w:t>thèse</w:t>
      </w:r>
      <w:r>
        <w:rPr>
          <w:spacing w:val="-3"/>
        </w:rPr>
        <w:t> </w:t>
      </w:r>
      <w:r>
        <w:rPr/>
        <w:t>de</w:t>
      </w:r>
      <w:r>
        <w:rPr>
          <w:spacing w:val="-3"/>
        </w:rPr>
        <w:t> </w:t>
      </w:r>
      <w:r>
        <w:rPr/>
        <w:t>K. BARTH selon laquelle le canon du N.T. s'est imposé de lui-même comme ensemble de textes kérygmatiques et qu'il se justifie encore à l'heure actuelle, vu qu'il continue à pouvoir être proclamé comme parole de prédication.</w:t>
      </w:r>
    </w:p>
    <w:p>
      <w:pPr>
        <w:pStyle w:val="BodyText"/>
        <w:ind w:right="139"/>
      </w:pPr>
      <w:r>
        <w:rPr/>
        <w:t>Il n'en reste pas moins que l'on peut se demander en vertu de quel critère les écrits ont été retenus. J. JEREMIAS estime que ce qui est fondamental, c'est le Jésus historique : ce point de vue s'explique à partir des discussions sur le Jésus</w:t>
      </w:r>
      <w:r>
        <w:rPr>
          <w:spacing w:val="40"/>
        </w:rPr>
        <w:t> </w:t>
      </w:r>
      <w:r>
        <w:rPr/>
        <w:t>historique, mais ne tient pas assez compte du fait que le N.T. parle aussi du Christ</w:t>
      </w:r>
      <w:r>
        <w:rPr>
          <w:spacing w:val="40"/>
        </w:rPr>
        <w:t> </w:t>
      </w:r>
      <w:r>
        <w:rPr/>
        <w:t>de la foi. E. KÄSEMANN pense qu'il faut retenir le critère de Luther "Christum</w:t>
      </w:r>
      <w:r>
        <w:rPr>
          <w:spacing w:val="40"/>
        </w:rPr>
        <w:t> </w:t>
      </w:r>
      <w:r>
        <w:rPr/>
        <w:t>treiben" et considérer comme noyau central le "Christus pro nobis" - "Le Christ qui nous justifie". D'autres, comme SCHLIER et CONZELMANN, sont d'avis que le critère normatif est le kérygme des apôtres qui contient des pré-symboles : ainsi, les confessions</w:t>
      </w:r>
      <w:r>
        <w:rPr>
          <w:spacing w:val="-4"/>
        </w:rPr>
        <w:t> </w:t>
      </w:r>
      <w:r>
        <w:rPr/>
        <w:t>de</w:t>
      </w:r>
      <w:r>
        <w:rPr>
          <w:spacing w:val="-3"/>
        </w:rPr>
        <w:t> </w:t>
      </w:r>
      <w:r>
        <w:rPr/>
        <w:t>foi</w:t>
      </w:r>
      <w:r>
        <w:rPr>
          <w:spacing w:val="-4"/>
        </w:rPr>
        <w:t> </w:t>
      </w:r>
      <w:r>
        <w:rPr/>
        <w:t>selon</w:t>
      </w:r>
      <w:r>
        <w:rPr>
          <w:spacing w:val="-3"/>
        </w:rPr>
        <w:t> </w:t>
      </w:r>
      <w:r>
        <w:rPr/>
        <w:t>lesquelles</w:t>
      </w:r>
      <w:r>
        <w:rPr>
          <w:spacing w:val="-4"/>
        </w:rPr>
        <w:t> </w:t>
      </w:r>
      <w:r>
        <w:rPr/>
        <w:t>Jésus-Christ</w:t>
      </w:r>
      <w:r>
        <w:rPr>
          <w:spacing w:val="-3"/>
        </w:rPr>
        <w:t> </w:t>
      </w:r>
      <w:r>
        <w:rPr/>
        <w:t>est</w:t>
      </w:r>
      <w:r>
        <w:rPr>
          <w:spacing w:val="-6"/>
        </w:rPr>
        <w:t> </w:t>
      </w:r>
      <w:r>
        <w:rPr/>
        <w:t>mort</w:t>
      </w:r>
      <w:r>
        <w:rPr>
          <w:spacing w:val="-6"/>
        </w:rPr>
        <w:t> </w:t>
      </w:r>
      <w:r>
        <w:rPr/>
        <w:t>et</w:t>
      </w:r>
      <w:r>
        <w:rPr>
          <w:spacing w:val="-3"/>
        </w:rPr>
        <w:t> </w:t>
      </w:r>
      <w:r>
        <w:rPr/>
        <w:t>ressuscité</w:t>
      </w:r>
      <w:r>
        <w:rPr>
          <w:spacing w:val="-3"/>
        </w:rPr>
        <w:t> </w:t>
      </w:r>
      <w:r>
        <w:rPr/>
        <w:t>constitueraient le principe formel de l'annonce de l'Évangile et auraient une valeur normative pour tout le N.T. Paul lui-même a repris des confessions de foi pour les expliquer et les épîtres deutéro-pauliniennes prouvent que la tradition passe pour être sacrée et que la théologie n'est qu'explicitation de ce qui a été transmis.</w:t>
      </w:r>
    </w:p>
    <w:sectPr>
      <w:type w:val="continuous"/>
      <w:pgSz w:w="11910" w:h="16840"/>
      <w:pgMar w:top="1340" w:bottom="280" w:left="1275" w:right="1275"/>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1"/>
    <w:family w:val="roman"/>
    <w:pitch w:val="variable"/>
  </w:font>
  <w:font w:name="Calibri">
    <w:altName w:val="Calibri"/>
    <w:charset w:val="1"/>
    <w:family w:val="swiss"/>
    <w:pitch w:val="variable"/>
  </w:font>
  <w:font w:name="Arial">
    <w:altName w:val="Arial"/>
    <w:charset w:val="1"/>
    <w:family w:val="swiss"/>
    <w:pitch w:val="variable"/>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multiLevelType w:val="hybridMultilevel"/>
    <w:lvl w:ilvl="0">
      <w:start w:val="1"/>
      <w:numFmt w:val="decimal"/>
      <w:lvlText w:val="%1."/>
      <w:lvlJc w:val="left"/>
      <w:pPr>
        <w:ind w:left="141" w:hanging="356"/>
        <w:jc w:val="left"/>
      </w:pPr>
      <w:rPr>
        <w:rFonts w:hint="default" w:ascii="Arial" w:hAnsi="Arial" w:eastAsia="Arial" w:cs="Arial"/>
        <w:b/>
        <w:bCs/>
        <w:i w:val="0"/>
        <w:iCs w:val="0"/>
        <w:spacing w:val="0"/>
        <w:w w:val="99"/>
        <w:sz w:val="32"/>
        <w:szCs w:val="32"/>
        <w:lang w:val="fr-FR" w:eastAsia="en-US" w:bidi="ar-SA"/>
      </w:rPr>
    </w:lvl>
    <w:lvl w:ilvl="1">
      <w:start w:val="1"/>
      <w:numFmt w:val="lowerLetter"/>
      <w:lvlText w:val="%2."/>
      <w:lvlJc w:val="left"/>
      <w:pPr>
        <w:ind w:left="426" w:hanging="286"/>
        <w:jc w:val="left"/>
      </w:pPr>
      <w:rPr>
        <w:rFonts w:hint="default" w:ascii="Calibri" w:hAnsi="Calibri" w:eastAsia="Calibri" w:cs="Calibri"/>
        <w:b w:val="0"/>
        <w:bCs w:val="0"/>
        <w:i w:val="0"/>
        <w:iCs w:val="0"/>
        <w:color w:val="0F4660"/>
        <w:spacing w:val="-1"/>
        <w:w w:val="111"/>
        <w:sz w:val="28"/>
        <w:szCs w:val="28"/>
        <w:lang w:val="fr-FR" w:eastAsia="en-US" w:bidi="ar-SA"/>
      </w:rPr>
    </w:lvl>
    <w:lvl w:ilvl="2">
      <w:start w:val="0"/>
      <w:numFmt w:val="bullet"/>
      <w:lvlText w:val="•"/>
      <w:lvlJc w:val="left"/>
      <w:pPr>
        <w:ind w:left="1412" w:hanging="286"/>
      </w:pPr>
      <w:rPr>
        <w:rFonts w:hint="default"/>
        <w:lang w:val="fr-FR" w:eastAsia="en-US" w:bidi="ar-SA"/>
      </w:rPr>
    </w:lvl>
    <w:lvl w:ilvl="3">
      <w:start w:val="0"/>
      <w:numFmt w:val="bullet"/>
      <w:lvlText w:val="•"/>
      <w:lvlJc w:val="left"/>
      <w:pPr>
        <w:ind w:left="2405" w:hanging="286"/>
      </w:pPr>
      <w:rPr>
        <w:rFonts w:hint="default"/>
        <w:lang w:val="fr-FR" w:eastAsia="en-US" w:bidi="ar-SA"/>
      </w:rPr>
    </w:lvl>
    <w:lvl w:ilvl="4">
      <w:start w:val="0"/>
      <w:numFmt w:val="bullet"/>
      <w:lvlText w:val="•"/>
      <w:lvlJc w:val="left"/>
      <w:pPr>
        <w:ind w:left="3398" w:hanging="286"/>
      </w:pPr>
      <w:rPr>
        <w:rFonts w:hint="default"/>
        <w:lang w:val="fr-FR" w:eastAsia="en-US" w:bidi="ar-SA"/>
      </w:rPr>
    </w:lvl>
    <w:lvl w:ilvl="5">
      <w:start w:val="0"/>
      <w:numFmt w:val="bullet"/>
      <w:lvlText w:val="•"/>
      <w:lvlJc w:val="left"/>
      <w:pPr>
        <w:ind w:left="4391" w:hanging="286"/>
      </w:pPr>
      <w:rPr>
        <w:rFonts w:hint="default"/>
        <w:lang w:val="fr-FR" w:eastAsia="en-US" w:bidi="ar-SA"/>
      </w:rPr>
    </w:lvl>
    <w:lvl w:ilvl="6">
      <w:start w:val="0"/>
      <w:numFmt w:val="bullet"/>
      <w:lvlText w:val="•"/>
      <w:lvlJc w:val="left"/>
      <w:pPr>
        <w:ind w:left="5384" w:hanging="286"/>
      </w:pPr>
      <w:rPr>
        <w:rFonts w:hint="default"/>
        <w:lang w:val="fr-FR" w:eastAsia="en-US" w:bidi="ar-SA"/>
      </w:rPr>
    </w:lvl>
    <w:lvl w:ilvl="7">
      <w:start w:val="0"/>
      <w:numFmt w:val="bullet"/>
      <w:lvlText w:val="•"/>
      <w:lvlJc w:val="left"/>
      <w:pPr>
        <w:ind w:left="6377" w:hanging="286"/>
      </w:pPr>
      <w:rPr>
        <w:rFonts w:hint="default"/>
        <w:lang w:val="fr-FR" w:eastAsia="en-US" w:bidi="ar-SA"/>
      </w:rPr>
    </w:lvl>
    <w:lvl w:ilvl="8">
      <w:start w:val="0"/>
      <w:numFmt w:val="bullet"/>
      <w:lvlText w:val="•"/>
      <w:lvlJc w:val="left"/>
      <w:pPr>
        <w:ind w:left="7370" w:hanging="286"/>
      </w:pPr>
      <w:rPr>
        <w:rFonts w:hint="default"/>
        <w:lang w:val="fr-FR" w:eastAsia="en-US" w:bidi="ar-S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Arial" w:hAnsi="Arial" w:eastAsia="Arial" w:cs="Arial"/>
      <w:lang w:val="fr-FR" w:eastAsia="en-US" w:bidi="ar-SA"/>
    </w:rPr>
  </w:style>
  <w:style w:styleId="BodyText" w:type="paragraph">
    <w:name w:val="Body Text"/>
    <w:basedOn w:val="Normal"/>
    <w:uiPriority w:val="1"/>
    <w:qFormat/>
    <w:pPr>
      <w:ind w:left="140"/>
    </w:pPr>
    <w:rPr>
      <w:rFonts w:ascii="Arial" w:hAnsi="Arial" w:eastAsia="Arial" w:cs="Arial"/>
      <w:sz w:val="24"/>
      <w:szCs w:val="24"/>
      <w:lang w:val="fr-FR" w:eastAsia="en-US" w:bidi="ar-SA"/>
    </w:rPr>
  </w:style>
  <w:style w:styleId="Heading1" w:type="paragraph">
    <w:name w:val="Heading 1"/>
    <w:basedOn w:val="Normal"/>
    <w:uiPriority w:val="1"/>
    <w:qFormat/>
    <w:pPr>
      <w:spacing w:before="59"/>
      <w:ind w:left="140" w:right="158"/>
      <w:outlineLvl w:val="1"/>
    </w:pPr>
    <w:rPr>
      <w:rFonts w:ascii="Arial" w:hAnsi="Arial" w:eastAsia="Arial" w:cs="Arial"/>
      <w:b/>
      <w:bCs/>
      <w:sz w:val="40"/>
      <w:szCs w:val="40"/>
      <w:lang w:val="fr-FR" w:eastAsia="en-US" w:bidi="ar-SA"/>
    </w:rPr>
  </w:style>
  <w:style w:styleId="Heading2" w:type="paragraph">
    <w:name w:val="Heading 2"/>
    <w:basedOn w:val="Normal"/>
    <w:uiPriority w:val="1"/>
    <w:qFormat/>
    <w:pPr>
      <w:ind w:left="140" w:right="326"/>
      <w:outlineLvl w:val="2"/>
    </w:pPr>
    <w:rPr>
      <w:rFonts w:ascii="Arial" w:hAnsi="Arial" w:eastAsia="Arial" w:cs="Arial"/>
      <w:b/>
      <w:bCs/>
      <w:sz w:val="32"/>
      <w:szCs w:val="32"/>
      <w:lang w:val="fr-FR" w:eastAsia="en-US" w:bidi="ar-SA"/>
    </w:rPr>
  </w:style>
  <w:style w:styleId="ListParagraph" w:type="paragraph">
    <w:name w:val="List Paragraph"/>
    <w:basedOn w:val="Normal"/>
    <w:uiPriority w:val="1"/>
    <w:qFormat/>
    <w:pPr>
      <w:ind w:left="140" w:hanging="284"/>
    </w:pPr>
    <w:rPr>
      <w:rFonts w:ascii="Arial" w:hAnsi="Arial" w:eastAsia="Arial" w:cs="Arial"/>
      <w:lang w:val="fr-FR" w:eastAsia="en-US" w:bidi="ar-SA"/>
    </w:rPr>
  </w:style>
  <w:style w:styleId="TableParagraph" w:type="paragraph">
    <w:name w:val="Table Paragraph"/>
    <w:basedOn w:val="Normal"/>
    <w:uiPriority w:val="1"/>
    <w:qFormat/>
    <w:pPr/>
    <w:rPr>
      <w:lang w:val="fr-FR"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régis kern</dc:creator>
  <dcterms:created xsi:type="dcterms:W3CDTF">2025-09-19T08:07:50Z</dcterms:created>
  <dcterms:modified xsi:type="dcterms:W3CDTF">2025-09-19T08:07:50Z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2025-09-19T00:00:00Z</vt:filetime>
  </property>
  <property fmtid="{D5CDD505-2E9C-101B-9397-08002B2CF9AE}" pid="3" name="Creator">
    <vt:lpwstr>Acrobat PDFMaker 25 pour Word</vt:lpwstr>
  </property>
  <property fmtid="{D5CDD505-2E9C-101B-9397-08002B2CF9AE}" pid="4" name="LastSaved">
    <vt:filetime>2025-09-19T00:00:00Z</vt:filetime>
  </property>
  <property fmtid="{D5CDD505-2E9C-101B-9397-08002B2CF9AE}" pid="5" name="Producer">
    <vt:lpwstr>Adobe PDF Library 25.1.213</vt:lpwstr>
  </property>
</Properties>
</file>